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2B35" w14:textId="23E82E94" w:rsidR="00CF55CF" w:rsidRPr="007A4ED1" w:rsidRDefault="007A4ED1" w:rsidP="00BC0C9A">
      <w:pPr>
        <w:pStyle w:val="EndnoteText"/>
        <w:suppressAutoHyphens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Washington Township</w:t>
      </w:r>
      <w:r w:rsidR="00BC0C9A">
        <w:rPr>
          <w:rFonts w:ascii="Verdana" w:hAnsi="Verdana"/>
          <w:sz w:val="32"/>
          <w:szCs w:val="32"/>
        </w:rPr>
        <w:t xml:space="preserve"> </w:t>
      </w:r>
      <w:r w:rsidR="00AB6590">
        <w:rPr>
          <w:rFonts w:ascii="Verdana" w:hAnsi="Verdana"/>
          <w:sz w:val="32"/>
          <w:szCs w:val="32"/>
        </w:rPr>
        <w:t xml:space="preserve">BOE </w:t>
      </w:r>
      <w:r w:rsidR="00BC0C9A">
        <w:rPr>
          <w:rFonts w:ascii="Verdana" w:hAnsi="Verdana"/>
          <w:sz w:val="32"/>
          <w:szCs w:val="32"/>
        </w:rPr>
        <w:t>Payroll Department</w:t>
      </w:r>
    </w:p>
    <w:p w14:paraId="69542B43" w14:textId="77777777" w:rsidR="00CF55CF" w:rsidRPr="007A4ED1" w:rsidRDefault="00CF55CF">
      <w:pPr>
        <w:pBdr>
          <w:bottom w:val="single" w:sz="6" w:space="1" w:color="auto"/>
        </w:pBdr>
        <w:suppressAutoHyphens/>
        <w:rPr>
          <w:rFonts w:ascii="Verdana" w:hAnsi="Verdana"/>
          <w:b/>
          <w:szCs w:val="24"/>
        </w:rPr>
      </w:pPr>
    </w:p>
    <w:p w14:paraId="69542B45" w14:textId="77777777" w:rsidR="00CF55CF" w:rsidRPr="007A4ED1" w:rsidRDefault="00CF55CF">
      <w:pPr>
        <w:suppressAutoHyphens/>
        <w:rPr>
          <w:rFonts w:ascii="Verdana" w:hAnsi="Verdana"/>
          <w:szCs w:val="24"/>
        </w:rPr>
      </w:pPr>
    </w:p>
    <w:p w14:paraId="69542B46" w14:textId="60ABF900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TO:</w:t>
      </w:r>
      <w:r w:rsidRPr="008119BA">
        <w:rPr>
          <w:rFonts w:ascii="Verdana" w:hAnsi="Verdana"/>
          <w:sz w:val="22"/>
          <w:szCs w:val="22"/>
        </w:rPr>
        <w:tab/>
      </w:r>
      <w:r w:rsidRPr="008119BA">
        <w:rPr>
          <w:rFonts w:ascii="Verdana" w:hAnsi="Verdana"/>
          <w:sz w:val="22"/>
          <w:szCs w:val="22"/>
        </w:rPr>
        <w:tab/>
        <w:t>All Administrators/Supervisors</w:t>
      </w:r>
      <w:r w:rsidR="00972B5F" w:rsidRPr="008119BA">
        <w:rPr>
          <w:rFonts w:ascii="Verdana" w:hAnsi="Verdana"/>
          <w:sz w:val="22"/>
          <w:szCs w:val="22"/>
        </w:rPr>
        <w:t>/Staff</w:t>
      </w:r>
    </w:p>
    <w:p w14:paraId="69542B47" w14:textId="77777777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</w:p>
    <w:p w14:paraId="69542B48" w14:textId="072DCD6B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FROM:</w:t>
      </w:r>
      <w:r w:rsidRPr="008119BA">
        <w:rPr>
          <w:rFonts w:ascii="Verdana" w:hAnsi="Verdana"/>
          <w:sz w:val="22"/>
          <w:szCs w:val="22"/>
        </w:rPr>
        <w:tab/>
      </w:r>
      <w:r w:rsidR="00090686">
        <w:rPr>
          <w:rFonts w:ascii="Verdana" w:hAnsi="Verdana"/>
          <w:sz w:val="22"/>
          <w:szCs w:val="22"/>
        </w:rPr>
        <w:t>Lori Laundra</w:t>
      </w:r>
      <w:r w:rsidR="00041CD2" w:rsidRPr="008119BA">
        <w:rPr>
          <w:rFonts w:ascii="Verdana" w:hAnsi="Verdana"/>
          <w:sz w:val="22"/>
          <w:szCs w:val="22"/>
        </w:rPr>
        <w:t>, Payroll</w:t>
      </w:r>
      <w:r w:rsidR="00090686">
        <w:rPr>
          <w:rFonts w:ascii="Verdana" w:hAnsi="Verdana"/>
          <w:sz w:val="22"/>
          <w:szCs w:val="22"/>
        </w:rPr>
        <w:t xml:space="preserve"> Manager</w:t>
      </w:r>
    </w:p>
    <w:p w14:paraId="69542B49" w14:textId="77777777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</w:p>
    <w:p w14:paraId="69542B4A" w14:textId="7BCFEB9F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RE:</w:t>
      </w:r>
      <w:r w:rsidRPr="008119BA">
        <w:rPr>
          <w:rFonts w:ascii="Verdana" w:hAnsi="Verdana"/>
          <w:sz w:val="22"/>
          <w:szCs w:val="22"/>
        </w:rPr>
        <w:tab/>
      </w:r>
      <w:r w:rsidRPr="008119BA">
        <w:rPr>
          <w:rFonts w:ascii="Verdana" w:hAnsi="Verdana"/>
          <w:sz w:val="22"/>
          <w:szCs w:val="22"/>
        </w:rPr>
        <w:tab/>
      </w:r>
      <w:r w:rsidR="00F77BFD" w:rsidRPr="008119BA">
        <w:rPr>
          <w:rFonts w:ascii="Verdana" w:hAnsi="Verdana"/>
          <w:sz w:val="22"/>
          <w:szCs w:val="22"/>
        </w:rPr>
        <w:t>202</w:t>
      </w:r>
      <w:r w:rsidR="00C86D9B">
        <w:rPr>
          <w:rFonts w:ascii="Verdana" w:hAnsi="Verdana"/>
          <w:sz w:val="22"/>
          <w:szCs w:val="22"/>
        </w:rPr>
        <w:t xml:space="preserve">4 </w:t>
      </w:r>
      <w:r w:rsidR="00F77BFD" w:rsidRPr="008119BA">
        <w:rPr>
          <w:rFonts w:ascii="Verdana" w:hAnsi="Verdana"/>
          <w:sz w:val="22"/>
          <w:szCs w:val="22"/>
        </w:rPr>
        <w:t>-</w:t>
      </w:r>
      <w:r w:rsidR="00C86D9B">
        <w:rPr>
          <w:rFonts w:ascii="Verdana" w:hAnsi="Verdana"/>
          <w:sz w:val="22"/>
          <w:szCs w:val="22"/>
        </w:rPr>
        <w:t xml:space="preserve"> </w:t>
      </w:r>
      <w:r w:rsidR="00F77BFD" w:rsidRPr="008119BA">
        <w:rPr>
          <w:rFonts w:ascii="Verdana" w:hAnsi="Verdana"/>
          <w:sz w:val="22"/>
          <w:szCs w:val="22"/>
        </w:rPr>
        <w:t>202</w:t>
      </w:r>
      <w:r w:rsidR="00C86D9B">
        <w:rPr>
          <w:rFonts w:ascii="Verdana" w:hAnsi="Verdana"/>
          <w:sz w:val="22"/>
          <w:szCs w:val="22"/>
        </w:rPr>
        <w:t>5</w:t>
      </w:r>
      <w:r w:rsidR="00F77BFD" w:rsidRPr="008119BA">
        <w:rPr>
          <w:rFonts w:ascii="Verdana" w:hAnsi="Verdana"/>
          <w:sz w:val="22"/>
          <w:szCs w:val="22"/>
        </w:rPr>
        <w:t xml:space="preserve"> </w:t>
      </w:r>
      <w:r w:rsidR="00C86D9B">
        <w:rPr>
          <w:rFonts w:ascii="Verdana" w:hAnsi="Verdana"/>
          <w:sz w:val="22"/>
          <w:szCs w:val="22"/>
        </w:rPr>
        <w:t xml:space="preserve">Payroll </w:t>
      </w:r>
      <w:r w:rsidR="004955C7" w:rsidRPr="008119BA">
        <w:rPr>
          <w:rFonts w:ascii="Verdana" w:hAnsi="Verdana"/>
          <w:sz w:val="22"/>
          <w:szCs w:val="22"/>
        </w:rPr>
        <w:t>Voucher</w:t>
      </w:r>
      <w:r w:rsidR="00235554" w:rsidRPr="008119BA">
        <w:rPr>
          <w:rFonts w:ascii="Verdana" w:hAnsi="Verdana"/>
          <w:sz w:val="22"/>
          <w:szCs w:val="22"/>
        </w:rPr>
        <w:t xml:space="preserve"> </w:t>
      </w:r>
      <w:r w:rsidRPr="008119BA">
        <w:rPr>
          <w:rFonts w:ascii="Verdana" w:hAnsi="Verdana"/>
          <w:sz w:val="22"/>
          <w:szCs w:val="22"/>
        </w:rPr>
        <w:t>Schedule</w:t>
      </w:r>
    </w:p>
    <w:p w14:paraId="69542B4B" w14:textId="77777777" w:rsidR="00CF55CF" w:rsidRPr="008119BA" w:rsidRDefault="00CF55CF">
      <w:pPr>
        <w:suppressAutoHyphens/>
        <w:rPr>
          <w:rFonts w:ascii="Verdana" w:hAnsi="Verdana"/>
          <w:sz w:val="22"/>
          <w:szCs w:val="22"/>
        </w:rPr>
      </w:pPr>
    </w:p>
    <w:p w14:paraId="69542B4C" w14:textId="33706E67" w:rsidR="00CF55CF" w:rsidRPr="008119BA" w:rsidRDefault="007A4ED1">
      <w:pPr>
        <w:pBdr>
          <w:bottom w:val="single" w:sz="6" w:space="1" w:color="auto"/>
        </w:pBdr>
        <w:suppressAutoHyphens/>
        <w:rPr>
          <w:rFonts w:ascii="Verdana" w:hAnsi="Verdana"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DATE:</w:t>
      </w:r>
      <w:r w:rsidRPr="008119BA">
        <w:rPr>
          <w:rFonts w:ascii="Verdana" w:hAnsi="Verdana"/>
          <w:sz w:val="22"/>
          <w:szCs w:val="22"/>
        </w:rPr>
        <w:tab/>
      </w:r>
      <w:r w:rsidR="00366BE3">
        <w:rPr>
          <w:rFonts w:ascii="Verdana" w:hAnsi="Verdana"/>
          <w:sz w:val="22"/>
          <w:szCs w:val="22"/>
        </w:rPr>
        <w:tab/>
      </w:r>
      <w:r w:rsidR="00090686">
        <w:rPr>
          <w:rFonts w:ascii="Verdana" w:hAnsi="Verdana"/>
          <w:sz w:val="22"/>
          <w:szCs w:val="22"/>
        </w:rPr>
        <w:t>June 25, 2024</w:t>
      </w:r>
    </w:p>
    <w:p w14:paraId="69542B4D" w14:textId="77777777" w:rsidR="007A4ED1" w:rsidRPr="007A4ED1" w:rsidRDefault="007A4ED1">
      <w:pPr>
        <w:pBdr>
          <w:bottom w:val="single" w:sz="6" w:space="1" w:color="auto"/>
        </w:pBdr>
        <w:suppressAutoHyphens/>
        <w:rPr>
          <w:rFonts w:ascii="Verdana" w:hAnsi="Verdana"/>
          <w:szCs w:val="24"/>
        </w:rPr>
      </w:pPr>
    </w:p>
    <w:p w14:paraId="69542B4E" w14:textId="77777777" w:rsidR="00CF55CF" w:rsidRPr="007A4ED1" w:rsidRDefault="00CF55CF">
      <w:pPr>
        <w:suppressAutoHyphens/>
        <w:rPr>
          <w:rFonts w:ascii="Verdana" w:hAnsi="Verdana"/>
          <w:szCs w:val="24"/>
        </w:rPr>
      </w:pPr>
    </w:p>
    <w:p w14:paraId="76844481" w14:textId="22D80240" w:rsidR="00FA5F2A" w:rsidRPr="008119BA" w:rsidRDefault="00DE7221" w:rsidP="00732BCF">
      <w:pPr>
        <w:suppressAutoHyphens/>
        <w:rPr>
          <w:rFonts w:ascii="Verdana" w:hAnsi="Verdana"/>
          <w:b/>
          <w:sz w:val="22"/>
          <w:szCs w:val="22"/>
        </w:rPr>
      </w:pPr>
      <w:r w:rsidRPr="008119BA">
        <w:rPr>
          <w:rFonts w:ascii="Verdana" w:hAnsi="Verdana"/>
          <w:sz w:val="22"/>
          <w:szCs w:val="22"/>
        </w:rPr>
        <w:t>For</w:t>
      </w:r>
      <w:r w:rsidR="00235554" w:rsidRPr="008119BA">
        <w:rPr>
          <w:rFonts w:ascii="Verdana" w:hAnsi="Verdana"/>
          <w:sz w:val="22"/>
          <w:szCs w:val="22"/>
        </w:rPr>
        <w:t xml:space="preserve"> payroll </w:t>
      </w:r>
      <w:r w:rsidR="004955C7" w:rsidRPr="008119BA">
        <w:rPr>
          <w:rFonts w:ascii="Verdana" w:hAnsi="Verdana"/>
          <w:sz w:val="22"/>
          <w:szCs w:val="22"/>
        </w:rPr>
        <w:t>vouchers</w:t>
      </w:r>
      <w:r w:rsidR="00235554" w:rsidRPr="008119BA">
        <w:rPr>
          <w:rFonts w:ascii="Verdana" w:hAnsi="Verdana"/>
          <w:sz w:val="22"/>
          <w:szCs w:val="22"/>
        </w:rPr>
        <w:t xml:space="preserve"> to be included in a </w:t>
      </w:r>
      <w:r w:rsidR="00511C62">
        <w:rPr>
          <w:rFonts w:ascii="Verdana" w:hAnsi="Verdana"/>
          <w:sz w:val="22"/>
          <w:szCs w:val="22"/>
        </w:rPr>
        <w:t>specific</w:t>
      </w:r>
      <w:r w:rsidR="00235554" w:rsidRPr="008119BA">
        <w:rPr>
          <w:rFonts w:ascii="Verdana" w:hAnsi="Verdana"/>
          <w:sz w:val="22"/>
          <w:szCs w:val="22"/>
        </w:rPr>
        <w:t xml:space="preserve"> pay period, </w:t>
      </w:r>
      <w:r w:rsidR="00235554" w:rsidRPr="008119BA">
        <w:rPr>
          <w:rFonts w:ascii="Verdana" w:hAnsi="Verdana"/>
          <w:b/>
          <w:sz w:val="22"/>
          <w:szCs w:val="22"/>
        </w:rPr>
        <w:t xml:space="preserve">the </w:t>
      </w:r>
      <w:r w:rsidR="007A4ED1" w:rsidRPr="008119BA">
        <w:rPr>
          <w:rFonts w:ascii="Verdana" w:hAnsi="Verdana"/>
          <w:b/>
          <w:sz w:val="22"/>
          <w:szCs w:val="22"/>
        </w:rPr>
        <w:t>i</w:t>
      </w:r>
      <w:r w:rsidR="00235554" w:rsidRPr="008119BA">
        <w:rPr>
          <w:rFonts w:ascii="Verdana" w:hAnsi="Verdana"/>
          <w:b/>
          <w:sz w:val="22"/>
          <w:szCs w:val="22"/>
        </w:rPr>
        <w:t>nformation must be received</w:t>
      </w:r>
      <w:r w:rsidR="009E2E01" w:rsidRPr="008119BA">
        <w:rPr>
          <w:rFonts w:ascii="Verdana" w:hAnsi="Verdana"/>
          <w:b/>
          <w:sz w:val="22"/>
          <w:szCs w:val="22"/>
        </w:rPr>
        <w:t xml:space="preserve"> in the PAYROLL OFFICE</w:t>
      </w:r>
      <w:r w:rsidR="00235554" w:rsidRPr="008119BA">
        <w:rPr>
          <w:rFonts w:ascii="Verdana" w:hAnsi="Verdana"/>
          <w:b/>
          <w:sz w:val="22"/>
          <w:szCs w:val="22"/>
        </w:rPr>
        <w:t xml:space="preserve"> completed</w:t>
      </w:r>
      <w:r w:rsidR="009E2E01" w:rsidRPr="008119BA">
        <w:rPr>
          <w:rFonts w:ascii="Verdana" w:hAnsi="Verdana"/>
          <w:b/>
          <w:sz w:val="22"/>
          <w:szCs w:val="22"/>
        </w:rPr>
        <w:t>,</w:t>
      </w:r>
      <w:r w:rsidR="00235554" w:rsidRPr="008119BA">
        <w:rPr>
          <w:rFonts w:ascii="Verdana" w:hAnsi="Verdana"/>
          <w:b/>
          <w:sz w:val="22"/>
          <w:szCs w:val="22"/>
        </w:rPr>
        <w:t xml:space="preserve"> signed, </w:t>
      </w:r>
      <w:r w:rsidR="009E2E01" w:rsidRPr="008119BA">
        <w:rPr>
          <w:rFonts w:ascii="Verdana" w:hAnsi="Verdana"/>
          <w:b/>
          <w:sz w:val="22"/>
          <w:szCs w:val="22"/>
        </w:rPr>
        <w:t xml:space="preserve">and </w:t>
      </w:r>
      <w:r w:rsidR="00C86D9B">
        <w:rPr>
          <w:rFonts w:ascii="Verdana" w:hAnsi="Verdana"/>
          <w:b/>
          <w:sz w:val="22"/>
          <w:szCs w:val="22"/>
        </w:rPr>
        <w:t>include all</w:t>
      </w:r>
      <w:r w:rsidR="009E2E01" w:rsidRPr="008119BA">
        <w:rPr>
          <w:rFonts w:ascii="Verdana" w:hAnsi="Verdana"/>
          <w:b/>
          <w:sz w:val="22"/>
          <w:szCs w:val="22"/>
        </w:rPr>
        <w:t xml:space="preserve"> appropriate approvals </w:t>
      </w:r>
      <w:r w:rsidR="00235554" w:rsidRPr="008119BA">
        <w:rPr>
          <w:rFonts w:ascii="Verdana" w:hAnsi="Verdana"/>
          <w:b/>
          <w:sz w:val="22"/>
          <w:szCs w:val="22"/>
        </w:rPr>
        <w:t>by the following dates:</w:t>
      </w:r>
    </w:p>
    <w:p w14:paraId="40968D24" w14:textId="735FFDE8" w:rsidR="008F56ED" w:rsidRDefault="008F56ED">
      <w:pPr>
        <w:suppressAutoHyphens/>
        <w:rPr>
          <w:rFonts w:ascii="Verdana" w:hAnsi="Verdana"/>
          <w:b/>
          <w:szCs w:val="24"/>
        </w:rPr>
      </w:pPr>
    </w:p>
    <w:tbl>
      <w:tblPr>
        <w:tblW w:w="6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2"/>
        <w:gridCol w:w="3542"/>
      </w:tblGrid>
      <w:tr w:rsidR="00DE7221" w:rsidRPr="00DE7221" w14:paraId="0790789B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8B48B92" w14:textId="77777777" w:rsidR="00DE7221" w:rsidRPr="005E2793" w:rsidRDefault="00DE7221" w:rsidP="00DE72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5E2793">
              <w:rPr>
                <w:rFonts w:ascii="Arial" w:hAnsi="Arial" w:cs="Arial"/>
                <w:b/>
                <w:bCs/>
                <w:snapToGrid/>
                <w:sz w:val="20"/>
              </w:rPr>
              <w:t>Pay Period Ending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5B4160" w14:textId="77777777" w:rsidR="00DE7221" w:rsidRPr="00DE7221" w:rsidRDefault="00DE7221" w:rsidP="00DE72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4E7B17A" w14:textId="77777777" w:rsidR="00DE7221" w:rsidRPr="005E2793" w:rsidRDefault="00DE7221" w:rsidP="00DE722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5E2793">
              <w:rPr>
                <w:rFonts w:ascii="Arial" w:hAnsi="Arial" w:cs="Arial"/>
                <w:b/>
                <w:bCs/>
                <w:snapToGrid/>
                <w:sz w:val="20"/>
              </w:rPr>
              <w:t>Vouchers Due</w:t>
            </w:r>
          </w:p>
        </w:tc>
      </w:tr>
      <w:tr w:rsidR="00DE7221" w:rsidRPr="00DE7221" w14:paraId="5840F13D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91044FC" w14:textId="6F8462DB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July 15,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033370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7D24228" w14:textId="47DD6D80" w:rsidR="00DE7221" w:rsidRPr="00DE7221" w:rsidRDefault="00924BAA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June 26, 2024</w:t>
            </w:r>
          </w:p>
        </w:tc>
      </w:tr>
      <w:tr w:rsidR="00DE7221" w:rsidRPr="00DE7221" w14:paraId="536B337C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E73A2FA" w14:textId="2FD2789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July 31,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40274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49300CE3" w14:textId="375E74E6" w:rsidR="00DE7221" w:rsidRPr="00DE7221" w:rsidRDefault="001121D8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July 15, 2024</w:t>
            </w:r>
          </w:p>
        </w:tc>
      </w:tr>
      <w:tr w:rsidR="00DE7221" w:rsidRPr="00DE7221" w14:paraId="44E7BBCD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2A2FFC7" w14:textId="2FDFC0C8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August 15,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3B4611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46FBCCAC" w14:textId="5A42C811" w:rsidR="00DE7221" w:rsidRPr="00DE7221" w:rsidRDefault="001121D8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August 1, 2024</w:t>
            </w:r>
          </w:p>
        </w:tc>
      </w:tr>
      <w:tr w:rsidR="00DE7221" w:rsidRPr="00DE7221" w14:paraId="6BC48FE0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91C6EBC" w14:textId="583472C1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August 31,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D0CBCF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3F278FCD" w14:textId="0AC2864A" w:rsidR="00DE7221" w:rsidRPr="00DE7221" w:rsidRDefault="001121D8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August 13, 2024</w:t>
            </w:r>
          </w:p>
        </w:tc>
      </w:tr>
      <w:tr w:rsidR="00DE7221" w:rsidRPr="00DE7221" w14:paraId="14483DCE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D06D7F" w14:textId="1BB27FF1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September 15,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059B5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6B2562B2" w14:textId="1CE580A2" w:rsidR="00DE7221" w:rsidRPr="00DE7221" w:rsidRDefault="001121D8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August 27, 2024</w:t>
            </w:r>
          </w:p>
        </w:tc>
      </w:tr>
      <w:tr w:rsidR="00DE7221" w:rsidRPr="00DE7221" w14:paraId="432C50B2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277B41F" w14:textId="06789706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September 30,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545CA2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5168F92F" w14:textId="1D2672CE" w:rsidR="00DE7221" w:rsidRPr="00DE7221" w:rsidRDefault="00136B09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11, 2024</w:t>
            </w:r>
          </w:p>
        </w:tc>
      </w:tr>
      <w:tr w:rsidR="00DE7221" w:rsidRPr="00DE7221" w14:paraId="42AF626D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620A797" w14:textId="39971B76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October 15,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DCA070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4A7D443B" w14:textId="0595A0D4" w:rsidR="00DE7221" w:rsidRPr="00DE7221" w:rsidRDefault="00136B09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25, 2024</w:t>
            </w:r>
          </w:p>
        </w:tc>
      </w:tr>
      <w:tr w:rsidR="00DE7221" w:rsidRPr="00DE7221" w14:paraId="03252ED4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D5FC504" w14:textId="68DA4E3C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October 31,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1606FD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6E16FE42" w14:textId="0B876B04" w:rsidR="00DE7221" w:rsidRPr="00DE7221" w:rsidRDefault="00136B09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14, 2024</w:t>
            </w:r>
          </w:p>
        </w:tc>
      </w:tr>
      <w:tr w:rsidR="00DE7221" w:rsidRPr="00DE7221" w14:paraId="741731A1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4823071" w14:textId="63CFF74B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November 15,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1892616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1586EBF7" w14:textId="6B307642" w:rsidR="00DE7221" w:rsidRPr="00DE7221" w:rsidRDefault="00136B09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25, 2024</w:t>
            </w:r>
          </w:p>
        </w:tc>
      </w:tr>
      <w:tr w:rsidR="00DE7221" w:rsidRPr="00DE7221" w14:paraId="0430AC06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8D7D198" w14:textId="3C256AE2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November 30,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90817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24C3BCDA" w14:textId="628AEDCC" w:rsidR="00DE7221" w:rsidRPr="00DE7221" w:rsidRDefault="0001174C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 6, 2024</w:t>
            </w:r>
          </w:p>
        </w:tc>
      </w:tr>
      <w:tr w:rsidR="00DE7221" w:rsidRPr="00DE7221" w14:paraId="6389FDC3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A4417D4" w14:textId="5615C554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December 15,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52FBF5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6798949B" w14:textId="2401790A" w:rsidR="00DE7221" w:rsidRPr="00DE7221" w:rsidRDefault="0001174C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 26, 2024</w:t>
            </w:r>
          </w:p>
        </w:tc>
      </w:tr>
      <w:tr w:rsidR="00DE7221" w:rsidRPr="00DE7221" w14:paraId="799751FA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FD90605" w14:textId="614F8866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December 31, 202</w:t>
            </w:r>
            <w:r w:rsidR="005E2793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C8C20A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47C8B367" w14:textId="7F92F2C2" w:rsidR="00DE7221" w:rsidRPr="00DE7221" w:rsidRDefault="0001174C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3, 2024</w:t>
            </w:r>
          </w:p>
        </w:tc>
      </w:tr>
      <w:tr w:rsidR="00DE7221" w:rsidRPr="00DE7221" w14:paraId="262125F6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D30E2AD" w14:textId="3D74A981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January 15,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774CE4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7719716C" w14:textId="20841DCA" w:rsidR="00DE7221" w:rsidRPr="00DE7221" w:rsidRDefault="0001174C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19, 2024</w:t>
            </w:r>
          </w:p>
        </w:tc>
      </w:tr>
      <w:tr w:rsidR="00DE7221" w:rsidRPr="00DE7221" w14:paraId="2597A3A4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0BA0D3B" w14:textId="3335A725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January 31,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C9A797B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2D3356DA" w14:textId="4E4B56D2" w:rsidR="00DE7221" w:rsidRPr="00DE7221" w:rsidRDefault="00667AF4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January 14, 2025</w:t>
            </w:r>
          </w:p>
        </w:tc>
      </w:tr>
      <w:tr w:rsidR="00DE7221" w:rsidRPr="00DE7221" w14:paraId="4512A870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56D9821" w14:textId="134CAD11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February 15,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7203C1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6906CDD1" w14:textId="2B7EF169" w:rsidR="00DE7221" w:rsidRPr="00DE7221" w:rsidRDefault="00667AF4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January 28, 2025</w:t>
            </w:r>
          </w:p>
        </w:tc>
      </w:tr>
      <w:tr w:rsidR="00DE7221" w:rsidRPr="00DE7221" w14:paraId="2426A78A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7D49E89" w14:textId="0C6348E6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February 29,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2D2E36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5F6AED83" w14:textId="2BCBBF41" w:rsidR="00DE7221" w:rsidRPr="00DE7221" w:rsidRDefault="00667AF4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February 11, 2025</w:t>
            </w:r>
          </w:p>
        </w:tc>
      </w:tr>
      <w:tr w:rsidR="00DE7221" w:rsidRPr="00DE7221" w14:paraId="588245AC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9F610A7" w14:textId="3AFB9C94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March 15,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E9C75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7691F573" w14:textId="7D1CDF00" w:rsidR="00DE7221" w:rsidRPr="00DE7221" w:rsidRDefault="00667AF4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February 25, 2025</w:t>
            </w:r>
          </w:p>
        </w:tc>
      </w:tr>
      <w:tr w:rsidR="00DE7221" w:rsidRPr="00DE7221" w14:paraId="723EFB9F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8B7ABEE" w14:textId="1CE97248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March 31,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4B9822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441845EA" w14:textId="10D94898" w:rsidR="00DE7221" w:rsidRPr="00DE7221" w:rsidRDefault="00A30193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March 12, 2025</w:t>
            </w:r>
          </w:p>
        </w:tc>
      </w:tr>
      <w:tr w:rsidR="00DE7221" w:rsidRPr="00DE7221" w14:paraId="571AFD83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547E5E4" w14:textId="09990490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April 15,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24B41A7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7C229E2C" w14:textId="08B66155" w:rsidR="00DE7221" w:rsidRPr="00DE7221" w:rsidRDefault="00A30193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March 27, 2025</w:t>
            </w:r>
          </w:p>
        </w:tc>
      </w:tr>
      <w:tr w:rsidR="00DE7221" w:rsidRPr="00DE7221" w14:paraId="429431F8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17C6A6C" w14:textId="0960D025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April 30,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0B9749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20B7B47F" w14:textId="31E721EA" w:rsidR="00DE7221" w:rsidRPr="00DE7221" w:rsidRDefault="00A30193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April 3, 2025</w:t>
            </w:r>
          </w:p>
        </w:tc>
      </w:tr>
      <w:tr w:rsidR="00DE7221" w:rsidRPr="00DE7221" w14:paraId="66086647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A4DDC06" w14:textId="2EB446BB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May 15,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FE9F5C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6E344358" w14:textId="2F283254" w:rsidR="00DE7221" w:rsidRPr="00DE7221" w:rsidRDefault="00A30193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April 28, 2025</w:t>
            </w:r>
          </w:p>
        </w:tc>
      </w:tr>
      <w:tr w:rsidR="00DE7221" w:rsidRPr="00DE7221" w14:paraId="1961CA60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B488D6E" w14:textId="0625C450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May 31, 202</w:t>
            </w:r>
            <w:r w:rsidR="005E2793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66946B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4F58B698" w14:textId="26A48C12" w:rsidR="00DE7221" w:rsidRPr="00DE7221" w:rsidRDefault="00F707FE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May 13, 2025</w:t>
            </w:r>
          </w:p>
        </w:tc>
      </w:tr>
      <w:tr w:rsidR="00DE7221" w:rsidRPr="00DE7221" w14:paraId="673F5BA9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79D8097" w14:textId="2D90EF58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1</w:t>
            </w:r>
            <w:r w:rsidR="004A23FC">
              <w:rPr>
                <w:rFonts w:ascii="Arial" w:hAnsi="Arial" w:cs="Arial"/>
                <w:snapToGrid/>
                <w:sz w:val="20"/>
              </w:rPr>
              <w:t>5</w:t>
            </w:r>
            <w:r w:rsidRPr="00DE7221">
              <w:rPr>
                <w:rFonts w:ascii="Arial" w:hAnsi="Arial" w:cs="Arial"/>
                <w:snapToGrid/>
                <w:sz w:val="20"/>
              </w:rPr>
              <w:t>, 202</w:t>
            </w:r>
            <w:r w:rsidR="004A23FC">
              <w:rPr>
                <w:rFonts w:ascii="Arial" w:hAnsi="Arial" w:cs="Arial"/>
                <w:snapToGrid/>
                <w:sz w:val="20"/>
              </w:rPr>
              <w:t>5</w:t>
            </w:r>
            <w:r w:rsidRPr="00DE7221">
              <w:rPr>
                <w:rFonts w:ascii="Arial" w:hAnsi="Arial" w:cs="Arial"/>
                <w:snapToGrid/>
                <w:sz w:val="20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05B1824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1B9FD83" w14:textId="186C776B" w:rsidR="00DE7221" w:rsidRPr="00DE7221" w:rsidRDefault="00F707FE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May 27, 2025</w:t>
            </w:r>
          </w:p>
        </w:tc>
      </w:tr>
      <w:tr w:rsidR="00DE7221" w:rsidRPr="00DE7221" w14:paraId="79BB2054" w14:textId="77777777" w:rsidTr="00DE7221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4AC50C5" w14:textId="69EDBA98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1</w:t>
            </w:r>
            <w:r w:rsidR="004A23FC">
              <w:rPr>
                <w:rFonts w:ascii="Arial" w:hAnsi="Arial" w:cs="Arial"/>
                <w:snapToGrid/>
                <w:sz w:val="20"/>
              </w:rPr>
              <w:t>6</w:t>
            </w:r>
            <w:r w:rsidRPr="00DE7221">
              <w:rPr>
                <w:rFonts w:ascii="Arial" w:hAnsi="Arial" w:cs="Arial"/>
                <w:snapToGrid/>
                <w:sz w:val="20"/>
              </w:rPr>
              <w:t>, 202</w:t>
            </w:r>
            <w:r w:rsidR="004A23FC">
              <w:rPr>
                <w:rFonts w:ascii="Arial" w:hAnsi="Arial" w:cs="Arial"/>
                <w:snapToGrid/>
                <w:sz w:val="20"/>
              </w:rPr>
              <w:t>5 **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1A33808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4DA97A06" w14:textId="48A7BB71" w:rsidR="00DE7221" w:rsidRPr="00DE7221" w:rsidRDefault="004A23FC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N</w:t>
            </w:r>
            <w:r w:rsidR="00F707FE">
              <w:rPr>
                <w:rFonts w:ascii="Arial" w:hAnsi="Arial" w:cs="Arial"/>
                <w:snapToGrid/>
                <w:sz w:val="20"/>
              </w:rPr>
              <w:t>o</w:t>
            </w:r>
            <w:r w:rsidRPr="00DE7221">
              <w:rPr>
                <w:rFonts w:ascii="Arial" w:hAnsi="Arial" w:cs="Arial"/>
                <w:snapToGrid/>
                <w:sz w:val="20"/>
              </w:rPr>
              <w:t xml:space="preserve"> V</w:t>
            </w:r>
            <w:r w:rsidR="00F707FE">
              <w:rPr>
                <w:rFonts w:ascii="Arial" w:hAnsi="Arial" w:cs="Arial"/>
                <w:snapToGrid/>
                <w:sz w:val="20"/>
              </w:rPr>
              <w:t>ouchers</w:t>
            </w:r>
            <w:r w:rsidRPr="00DE7221">
              <w:rPr>
                <w:rFonts w:ascii="Arial" w:hAnsi="Arial" w:cs="Arial"/>
                <w:snapToGrid/>
                <w:sz w:val="20"/>
              </w:rPr>
              <w:t xml:space="preserve"> </w:t>
            </w:r>
            <w:r w:rsidR="00BE5477">
              <w:rPr>
                <w:rFonts w:ascii="Arial" w:hAnsi="Arial" w:cs="Arial"/>
                <w:snapToGrid/>
                <w:sz w:val="20"/>
              </w:rPr>
              <w:t>o</w:t>
            </w:r>
            <w:r w:rsidR="00F707FE">
              <w:rPr>
                <w:rFonts w:ascii="Arial" w:hAnsi="Arial" w:cs="Arial"/>
                <w:snapToGrid/>
                <w:sz w:val="20"/>
              </w:rPr>
              <w:t>r</w:t>
            </w:r>
            <w:r w:rsidRPr="00DE7221">
              <w:rPr>
                <w:rFonts w:ascii="Arial" w:hAnsi="Arial" w:cs="Arial"/>
                <w:snapToGrid/>
                <w:sz w:val="20"/>
              </w:rPr>
              <w:t xml:space="preserve"> S</w:t>
            </w:r>
            <w:r w:rsidR="00F707FE">
              <w:rPr>
                <w:rFonts w:ascii="Arial" w:hAnsi="Arial" w:cs="Arial"/>
                <w:snapToGrid/>
                <w:sz w:val="20"/>
              </w:rPr>
              <w:t>ign</w:t>
            </w:r>
            <w:r w:rsidRPr="00DE7221">
              <w:rPr>
                <w:rFonts w:ascii="Arial" w:hAnsi="Arial" w:cs="Arial"/>
                <w:snapToGrid/>
                <w:sz w:val="20"/>
              </w:rPr>
              <w:t>-I</w:t>
            </w:r>
            <w:r w:rsidR="00F707FE">
              <w:rPr>
                <w:rFonts w:ascii="Arial" w:hAnsi="Arial" w:cs="Arial"/>
                <w:snapToGrid/>
                <w:sz w:val="20"/>
              </w:rPr>
              <w:t>n</w:t>
            </w:r>
            <w:r w:rsidRPr="00DE7221">
              <w:rPr>
                <w:rFonts w:ascii="Arial" w:hAnsi="Arial" w:cs="Arial"/>
                <w:snapToGrid/>
                <w:sz w:val="20"/>
              </w:rPr>
              <w:t xml:space="preserve"> S</w:t>
            </w:r>
            <w:r w:rsidR="00F707FE">
              <w:rPr>
                <w:rFonts w:ascii="Arial" w:hAnsi="Arial" w:cs="Arial"/>
                <w:snapToGrid/>
                <w:sz w:val="20"/>
              </w:rPr>
              <w:t>heets</w:t>
            </w:r>
          </w:p>
        </w:tc>
      </w:tr>
      <w:tr w:rsidR="00DE7221" w:rsidRPr="00DE7221" w14:paraId="61B52126" w14:textId="77777777" w:rsidTr="00924BAA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AD422CA" w14:textId="3586509F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DE7221">
              <w:rPr>
                <w:rFonts w:ascii="Arial" w:hAnsi="Arial" w:cs="Arial"/>
                <w:snapToGrid/>
                <w:sz w:val="20"/>
              </w:rPr>
              <w:t>June 30, 202</w:t>
            </w:r>
            <w:r w:rsidR="004A23FC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</w:tcPr>
          <w:p w14:paraId="574764FD" w14:textId="77777777" w:rsidR="00DE7221" w:rsidRPr="00DE7221" w:rsidRDefault="00DE7221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542" w:type="dxa"/>
            <w:shd w:val="clear" w:color="auto" w:fill="auto"/>
            <w:noWrap/>
            <w:vAlign w:val="bottom"/>
          </w:tcPr>
          <w:p w14:paraId="68FA344B" w14:textId="25BC94E0" w:rsidR="00DE7221" w:rsidRPr="00DE7221" w:rsidRDefault="00F707FE" w:rsidP="00DE7221">
            <w:pPr>
              <w:widowControl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June 11, 2025</w:t>
            </w:r>
          </w:p>
        </w:tc>
      </w:tr>
    </w:tbl>
    <w:p w14:paraId="69542B78" w14:textId="7A32331B" w:rsidR="00CF55CF" w:rsidRPr="00C03B6F" w:rsidRDefault="00CF55CF">
      <w:pPr>
        <w:suppressAutoHyphens/>
        <w:rPr>
          <w:rFonts w:ascii="Verdana" w:hAnsi="Verdana"/>
          <w:sz w:val="22"/>
          <w:szCs w:val="22"/>
        </w:rPr>
      </w:pPr>
      <w:r w:rsidRPr="00DE7221">
        <w:rPr>
          <w:rFonts w:ascii="Verdana" w:hAnsi="Verdana"/>
          <w:szCs w:val="24"/>
        </w:rPr>
        <w:br w:type="page"/>
      </w:r>
      <w:r w:rsidRPr="00C03B6F">
        <w:rPr>
          <w:rFonts w:ascii="Verdana" w:hAnsi="Verdana"/>
          <w:sz w:val="22"/>
          <w:szCs w:val="22"/>
        </w:rPr>
        <w:lastRenderedPageBreak/>
        <w:t>Page 2</w:t>
      </w:r>
    </w:p>
    <w:p w14:paraId="6B97F158" w14:textId="6AA99DB6" w:rsidR="00F77BFD" w:rsidRPr="00C03B6F" w:rsidRDefault="00F77BFD">
      <w:pPr>
        <w:suppressAutoHyphens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202</w:t>
      </w:r>
      <w:r w:rsidR="00BE5477">
        <w:rPr>
          <w:rFonts w:ascii="Verdana" w:hAnsi="Verdana"/>
          <w:sz w:val="22"/>
          <w:szCs w:val="22"/>
        </w:rPr>
        <w:t>4</w:t>
      </w:r>
      <w:r w:rsidR="00C86D9B">
        <w:rPr>
          <w:rFonts w:ascii="Verdana" w:hAnsi="Verdana"/>
          <w:sz w:val="22"/>
          <w:szCs w:val="22"/>
        </w:rPr>
        <w:t xml:space="preserve"> </w:t>
      </w:r>
      <w:r w:rsidRPr="00C03B6F">
        <w:rPr>
          <w:rFonts w:ascii="Verdana" w:hAnsi="Verdana"/>
          <w:sz w:val="22"/>
          <w:szCs w:val="22"/>
        </w:rPr>
        <w:t>-</w:t>
      </w:r>
      <w:r w:rsidR="00C86D9B">
        <w:rPr>
          <w:rFonts w:ascii="Verdana" w:hAnsi="Verdana"/>
          <w:sz w:val="22"/>
          <w:szCs w:val="22"/>
        </w:rPr>
        <w:t xml:space="preserve"> </w:t>
      </w:r>
      <w:r w:rsidRPr="00C03B6F">
        <w:rPr>
          <w:rFonts w:ascii="Verdana" w:hAnsi="Verdana"/>
          <w:sz w:val="22"/>
          <w:szCs w:val="22"/>
        </w:rPr>
        <w:t>202</w:t>
      </w:r>
      <w:r w:rsidR="00BE5477">
        <w:rPr>
          <w:rFonts w:ascii="Verdana" w:hAnsi="Verdana"/>
          <w:sz w:val="22"/>
          <w:szCs w:val="22"/>
        </w:rPr>
        <w:t>5</w:t>
      </w:r>
      <w:r w:rsidRPr="00C03B6F">
        <w:rPr>
          <w:rFonts w:ascii="Verdana" w:hAnsi="Verdana"/>
          <w:sz w:val="22"/>
          <w:szCs w:val="22"/>
        </w:rPr>
        <w:t xml:space="preserve"> </w:t>
      </w:r>
      <w:r w:rsidR="00C86D9B">
        <w:rPr>
          <w:rFonts w:ascii="Verdana" w:hAnsi="Verdana"/>
          <w:sz w:val="22"/>
          <w:szCs w:val="22"/>
        </w:rPr>
        <w:t xml:space="preserve">Payroll </w:t>
      </w:r>
      <w:r w:rsidRPr="00C03B6F">
        <w:rPr>
          <w:rFonts w:ascii="Verdana" w:hAnsi="Verdana"/>
          <w:sz w:val="22"/>
          <w:szCs w:val="22"/>
        </w:rPr>
        <w:t>Voucher Schedule</w:t>
      </w:r>
    </w:p>
    <w:p w14:paraId="69542B7B" w14:textId="189C12FB" w:rsidR="00CF55CF" w:rsidRPr="00C03B6F" w:rsidRDefault="004A23FC">
      <w:pPr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June 25, 2025</w:t>
      </w:r>
    </w:p>
    <w:p w14:paraId="24019291" w14:textId="6B607E85" w:rsidR="000435BA" w:rsidRPr="00C03B6F" w:rsidRDefault="000435BA">
      <w:pPr>
        <w:suppressAutoHyphens/>
        <w:rPr>
          <w:rFonts w:ascii="Verdana" w:hAnsi="Verdana"/>
          <w:sz w:val="22"/>
          <w:szCs w:val="22"/>
        </w:rPr>
      </w:pPr>
    </w:p>
    <w:p w14:paraId="6FE296D8" w14:textId="77777777" w:rsidR="000435BA" w:rsidRPr="00C03B6F" w:rsidRDefault="000435BA">
      <w:pPr>
        <w:suppressAutoHyphens/>
        <w:rPr>
          <w:rFonts w:ascii="Verdana" w:hAnsi="Verdana"/>
          <w:sz w:val="22"/>
          <w:szCs w:val="22"/>
        </w:rPr>
      </w:pPr>
    </w:p>
    <w:p w14:paraId="69542BA9" w14:textId="77777777" w:rsidR="00CF55CF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b/>
          <w:sz w:val="22"/>
          <w:szCs w:val="22"/>
          <w:u w:val="single"/>
        </w:rPr>
        <w:t>PLEASE NOTE:</w:t>
      </w:r>
    </w:p>
    <w:p w14:paraId="69542BAA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5B920A51" w14:textId="77777777" w:rsidR="00DE7221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Vouchers must be submitted in a timely manner, no later than the 15</w:t>
      </w:r>
      <w:r w:rsidRPr="00C03B6F">
        <w:rPr>
          <w:rFonts w:ascii="Verdana" w:hAnsi="Verdana"/>
          <w:sz w:val="22"/>
          <w:szCs w:val="22"/>
          <w:vertAlign w:val="superscript"/>
        </w:rPr>
        <w:t>th</w:t>
      </w:r>
      <w:r w:rsidRPr="00C03B6F">
        <w:rPr>
          <w:rFonts w:ascii="Verdana" w:hAnsi="Verdana"/>
          <w:sz w:val="22"/>
          <w:szCs w:val="22"/>
        </w:rPr>
        <w:t xml:space="preserve"> of the month following</w:t>
      </w:r>
    </w:p>
    <w:p w14:paraId="69542BAB" w14:textId="08144C2E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the month worked. (For example: September’s work must be submitted by October 15</w:t>
      </w:r>
      <w:r w:rsidRPr="00C03B6F">
        <w:rPr>
          <w:rFonts w:ascii="Verdana" w:hAnsi="Verdana"/>
          <w:sz w:val="22"/>
          <w:szCs w:val="22"/>
          <w:vertAlign w:val="superscript"/>
        </w:rPr>
        <w:t>th</w:t>
      </w:r>
      <w:r w:rsidRPr="00C03B6F">
        <w:rPr>
          <w:rFonts w:ascii="Verdana" w:hAnsi="Verdana"/>
          <w:sz w:val="22"/>
          <w:szCs w:val="22"/>
        </w:rPr>
        <w:t>).</w:t>
      </w:r>
    </w:p>
    <w:p w14:paraId="69542BAC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585707C2" w14:textId="77777777" w:rsidR="00DE7221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 xml:space="preserve">Vouchers must be completed in blue or black ink only and must contain original signatures. </w:t>
      </w:r>
    </w:p>
    <w:p w14:paraId="0A17365E" w14:textId="77777777" w:rsidR="00DE7221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 xml:space="preserve">Items 1 through 16 </w:t>
      </w:r>
      <w:r w:rsidRPr="00C03B6F">
        <w:rPr>
          <w:rFonts w:ascii="Verdana" w:hAnsi="Verdana"/>
          <w:b/>
          <w:sz w:val="22"/>
          <w:szCs w:val="22"/>
          <w:u w:val="single"/>
        </w:rPr>
        <w:t>MUST be completed</w:t>
      </w:r>
      <w:r w:rsidRPr="00C03B6F">
        <w:rPr>
          <w:rFonts w:ascii="Verdana" w:hAnsi="Verdana"/>
          <w:sz w:val="22"/>
          <w:szCs w:val="22"/>
        </w:rPr>
        <w:t xml:space="preserve"> before being submitted to Payroll. Incomplete </w:t>
      </w:r>
    </w:p>
    <w:p w14:paraId="69542BAD" w14:textId="1DD1863B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vouchers will be returned to the employee.</w:t>
      </w:r>
    </w:p>
    <w:p w14:paraId="69542BAE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3AAE37B9" w14:textId="780FBED5" w:rsidR="008456F9" w:rsidRPr="00C03B6F" w:rsidRDefault="002C7A8A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When referring to the scheduled due date and </w:t>
      </w:r>
      <w:r w:rsidR="008456F9">
        <w:rPr>
          <w:rFonts w:ascii="Verdana" w:hAnsi="Verdana"/>
          <w:sz w:val="22"/>
          <w:szCs w:val="22"/>
        </w:rPr>
        <w:t xml:space="preserve">anticipating a corresponding </w:t>
      </w:r>
      <w:r>
        <w:rPr>
          <w:rFonts w:ascii="Verdana" w:hAnsi="Verdana"/>
          <w:sz w:val="22"/>
          <w:szCs w:val="22"/>
        </w:rPr>
        <w:t xml:space="preserve">payroll date, please </w:t>
      </w:r>
      <w:r w:rsidR="00A2565D" w:rsidRPr="00C03B6F">
        <w:rPr>
          <w:rFonts w:ascii="Verdana" w:hAnsi="Verdana"/>
          <w:sz w:val="22"/>
          <w:szCs w:val="22"/>
        </w:rPr>
        <w:t>keep in mind</w:t>
      </w:r>
      <w:r w:rsidR="008456F9">
        <w:rPr>
          <w:rFonts w:ascii="Verdana" w:hAnsi="Verdana"/>
          <w:sz w:val="22"/>
          <w:szCs w:val="22"/>
        </w:rPr>
        <w:t xml:space="preserve"> your submission date</w:t>
      </w:r>
      <w:r w:rsidR="003E4522">
        <w:rPr>
          <w:rFonts w:ascii="Verdana" w:hAnsi="Verdana"/>
          <w:sz w:val="22"/>
          <w:szCs w:val="22"/>
        </w:rPr>
        <w:t xml:space="preserve"> and then allow for</w:t>
      </w:r>
      <w:r w:rsidR="008456F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the </w:t>
      </w:r>
      <w:r w:rsidR="00A2565D" w:rsidRPr="00C03B6F">
        <w:rPr>
          <w:rFonts w:ascii="Verdana" w:hAnsi="Verdana"/>
          <w:sz w:val="22"/>
          <w:szCs w:val="22"/>
        </w:rPr>
        <w:t xml:space="preserve">time </w:t>
      </w:r>
      <w:r w:rsidR="008456F9">
        <w:rPr>
          <w:rFonts w:ascii="Verdana" w:hAnsi="Verdana"/>
          <w:sz w:val="22"/>
          <w:szCs w:val="22"/>
        </w:rPr>
        <w:t xml:space="preserve">required </w:t>
      </w:r>
      <w:r w:rsidR="00A2565D" w:rsidRPr="00C03B6F">
        <w:rPr>
          <w:rFonts w:ascii="Verdana" w:hAnsi="Verdana"/>
          <w:sz w:val="22"/>
          <w:szCs w:val="22"/>
        </w:rPr>
        <w:t>to obtain</w:t>
      </w:r>
      <w:r w:rsidR="008456F9">
        <w:rPr>
          <w:rFonts w:ascii="Verdana" w:hAnsi="Verdana"/>
          <w:sz w:val="22"/>
          <w:szCs w:val="22"/>
        </w:rPr>
        <w:t xml:space="preserve"> all necessary </w:t>
      </w:r>
      <w:r w:rsidR="00A2565D" w:rsidRPr="00C03B6F">
        <w:rPr>
          <w:rFonts w:ascii="Verdana" w:hAnsi="Verdana"/>
          <w:sz w:val="22"/>
          <w:szCs w:val="22"/>
        </w:rPr>
        <w:t>signature</w:t>
      </w:r>
      <w:r w:rsidR="008456F9">
        <w:rPr>
          <w:rFonts w:ascii="Verdana" w:hAnsi="Verdana"/>
          <w:sz w:val="22"/>
          <w:szCs w:val="22"/>
        </w:rPr>
        <w:t>(</w:t>
      </w:r>
      <w:r w:rsidR="00A2565D" w:rsidRPr="00C03B6F">
        <w:rPr>
          <w:rFonts w:ascii="Verdana" w:hAnsi="Verdana"/>
          <w:sz w:val="22"/>
          <w:szCs w:val="22"/>
        </w:rPr>
        <w:t>s</w:t>
      </w:r>
      <w:r w:rsidR="008456F9">
        <w:rPr>
          <w:rFonts w:ascii="Verdana" w:hAnsi="Verdana"/>
          <w:sz w:val="22"/>
          <w:szCs w:val="22"/>
        </w:rPr>
        <w:t>)</w:t>
      </w:r>
      <w:r w:rsidR="00A2565D" w:rsidRPr="00C03B6F">
        <w:rPr>
          <w:rFonts w:ascii="Verdana" w:hAnsi="Verdana"/>
          <w:sz w:val="22"/>
          <w:szCs w:val="22"/>
        </w:rPr>
        <w:t xml:space="preserve"> and </w:t>
      </w:r>
      <w:r w:rsidR="008456F9">
        <w:rPr>
          <w:rFonts w:ascii="Verdana" w:hAnsi="Verdana"/>
          <w:sz w:val="22"/>
          <w:szCs w:val="22"/>
        </w:rPr>
        <w:t>f</w:t>
      </w:r>
      <w:r w:rsidR="00A2565D" w:rsidRPr="00C03B6F">
        <w:rPr>
          <w:rFonts w:ascii="Verdana" w:hAnsi="Verdana"/>
          <w:sz w:val="22"/>
          <w:szCs w:val="22"/>
        </w:rPr>
        <w:t>or</w:t>
      </w:r>
      <w:r w:rsidR="008456F9">
        <w:rPr>
          <w:rFonts w:ascii="Verdana" w:hAnsi="Verdana"/>
          <w:sz w:val="22"/>
          <w:szCs w:val="22"/>
        </w:rPr>
        <w:t xml:space="preserve"> </w:t>
      </w:r>
      <w:r w:rsidR="00A2565D" w:rsidRPr="00C03B6F">
        <w:rPr>
          <w:rFonts w:ascii="Verdana" w:hAnsi="Verdana"/>
          <w:sz w:val="22"/>
          <w:szCs w:val="22"/>
        </w:rPr>
        <w:t>the voucher to</w:t>
      </w:r>
      <w:r w:rsidR="008456F9">
        <w:rPr>
          <w:rFonts w:ascii="Verdana" w:hAnsi="Verdana"/>
          <w:sz w:val="22"/>
          <w:szCs w:val="22"/>
        </w:rPr>
        <w:t xml:space="preserve"> be forwarded to</w:t>
      </w:r>
      <w:r w:rsidR="008B0A0F">
        <w:rPr>
          <w:rFonts w:ascii="Verdana" w:hAnsi="Verdana"/>
          <w:sz w:val="22"/>
          <w:szCs w:val="22"/>
        </w:rPr>
        <w:t xml:space="preserve"> the </w:t>
      </w:r>
      <w:r w:rsidR="00A2565D" w:rsidRPr="00C03B6F">
        <w:rPr>
          <w:rFonts w:ascii="Verdana" w:hAnsi="Verdana"/>
          <w:sz w:val="22"/>
          <w:szCs w:val="22"/>
        </w:rPr>
        <w:t>Payroll</w:t>
      </w:r>
      <w:r w:rsidR="008B0A0F">
        <w:rPr>
          <w:rFonts w:ascii="Verdana" w:hAnsi="Verdana"/>
          <w:sz w:val="22"/>
          <w:szCs w:val="22"/>
        </w:rPr>
        <w:t xml:space="preserve"> Department</w:t>
      </w:r>
      <w:r w:rsidR="00A2565D" w:rsidRPr="00C03B6F">
        <w:rPr>
          <w:rFonts w:ascii="Verdana" w:hAnsi="Verdana"/>
          <w:sz w:val="22"/>
          <w:szCs w:val="22"/>
        </w:rPr>
        <w:t>.</w:t>
      </w:r>
      <w:r w:rsidR="008456F9">
        <w:rPr>
          <w:rFonts w:ascii="Verdana" w:hAnsi="Verdana"/>
          <w:sz w:val="22"/>
          <w:szCs w:val="22"/>
        </w:rPr>
        <w:t xml:space="preserve"> </w:t>
      </w:r>
    </w:p>
    <w:p w14:paraId="69542BB0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69542BB1" w14:textId="3F62B9B0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 xml:space="preserve">Vouchers received after the </w:t>
      </w:r>
      <w:r w:rsidR="008456F9">
        <w:rPr>
          <w:rFonts w:ascii="Verdana" w:hAnsi="Verdana"/>
          <w:sz w:val="22"/>
          <w:szCs w:val="22"/>
        </w:rPr>
        <w:t>scheduled</w:t>
      </w:r>
      <w:r w:rsidRPr="00C03B6F">
        <w:rPr>
          <w:rFonts w:ascii="Verdana" w:hAnsi="Verdana"/>
          <w:sz w:val="22"/>
          <w:szCs w:val="22"/>
        </w:rPr>
        <w:t xml:space="preserve"> due date will be included in the next pay period.</w:t>
      </w:r>
    </w:p>
    <w:p w14:paraId="69542BB2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69542BB3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sz w:val="22"/>
          <w:szCs w:val="22"/>
        </w:rPr>
        <w:t>Payroll dates are subject to change if the school calendar is adjusted for snow or emergency closings.</w:t>
      </w:r>
    </w:p>
    <w:p w14:paraId="69542BB4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</w:p>
    <w:p w14:paraId="69542BB5" w14:textId="58756080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  <w:r w:rsidRPr="00C03B6F">
        <w:rPr>
          <w:rFonts w:ascii="Verdana" w:hAnsi="Verdana"/>
          <w:b/>
          <w:sz w:val="22"/>
          <w:szCs w:val="22"/>
        </w:rPr>
        <w:t>FAIL</w:t>
      </w:r>
      <w:r w:rsidR="007B675F">
        <w:rPr>
          <w:rFonts w:ascii="Verdana" w:hAnsi="Verdana"/>
          <w:b/>
          <w:sz w:val="22"/>
          <w:szCs w:val="22"/>
        </w:rPr>
        <w:t>URE</w:t>
      </w:r>
      <w:r w:rsidRPr="00C03B6F">
        <w:rPr>
          <w:rFonts w:ascii="Verdana" w:hAnsi="Verdana"/>
          <w:b/>
          <w:sz w:val="22"/>
          <w:szCs w:val="22"/>
        </w:rPr>
        <w:t xml:space="preserve"> TO FOLLOW THE ABOVE PROCEDURES </w:t>
      </w:r>
      <w:r w:rsidRPr="00C03B6F">
        <w:rPr>
          <w:rFonts w:ascii="Verdana" w:hAnsi="Verdana"/>
          <w:b/>
          <w:sz w:val="22"/>
          <w:szCs w:val="22"/>
          <w:u w:val="single"/>
        </w:rPr>
        <w:t>WILL</w:t>
      </w:r>
      <w:r w:rsidRPr="00C03B6F">
        <w:rPr>
          <w:rFonts w:ascii="Verdana" w:hAnsi="Verdana"/>
          <w:b/>
          <w:sz w:val="22"/>
          <w:szCs w:val="22"/>
        </w:rPr>
        <w:t xml:space="preserve"> CAUSE DELAYS IN PROCESSING YOUR PAYMENT.</w:t>
      </w:r>
    </w:p>
    <w:p w14:paraId="69542BB6" w14:textId="77777777" w:rsidR="00A2565D" w:rsidRPr="00C03B6F" w:rsidRDefault="00A2565D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</w:p>
    <w:p w14:paraId="567EE06A" w14:textId="77777777" w:rsidR="00C01ADC" w:rsidRDefault="00C01ADC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  <w:bookmarkStart w:id="0" w:name="_Hlk524705454"/>
    </w:p>
    <w:p w14:paraId="706A11BB" w14:textId="77777777" w:rsidR="00C01ADC" w:rsidRDefault="00C01ADC">
      <w:pPr>
        <w:tabs>
          <w:tab w:val="left" w:pos="-720"/>
        </w:tabs>
        <w:suppressAutoHyphens/>
        <w:ind w:right="-1023"/>
        <w:rPr>
          <w:rFonts w:ascii="Verdana" w:hAnsi="Verdana"/>
          <w:b/>
          <w:sz w:val="22"/>
          <w:szCs w:val="22"/>
        </w:rPr>
      </w:pPr>
    </w:p>
    <w:p w14:paraId="14790784" w14:textId="77777777" w:rsidR="005151D6" w:rsidRDefault="00746CC4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 w:rsidRPr="00C03B6F">
        <w:rPr>
          <w:rFonts w:ascii="Verdana" w:hAnsi="Verdana"/>
          <w:b/>
          <w:sz w:val="22"/>
          <w:szCs w:val="22"/>
        </w:rPr>
        <w:t>**</w:t>
      </w:r>
      <w:r w:rsidR="006F758E">
        <w:rPr>
          <w:rFonts w:ascii="Verdana" w:hAnsi="Verdana"/>
          <w:b/>
          <w:sz w:val="22"/>
          <w:szCs w:val="22"/>
        </w:rPr>
        <w:t xml:space="preserve"> </w:t>
      </w:r>
      <w:r w:rsidRPr="00C03B6F">
        <w:rPr>
          <w:rFonts w:ascii="Verdana" w:hAnsi="Verdana"/>
          <w:sz w:val="22"/>
          <w:szCs w:val="22"/>
        </w:rPr>
        <w:t xml:space="preserve">The June </w:t>
      </w:r>
      <w:r w:rsidR="00276EDF" w:rsidRPr="00C03B6F">
        <w:rPr>
          <w:rFonts w:ascii="Verdana" w:hAnsi="Verdana"/>
          <w:sz w:val="22"/>
          <w:szCs w:val="22"/>
        </w:rPr>
        <w:t>1</w:t>
      </w:r>
      <w:r w:rsidR="007B675F">
        <w:rPr>
          <w:rFonts w:ascii="Verdana" w:hAnsi="Verdana"/>
          <w:sz w:val="22"/>
          <w:szCs w:val="22"/>
        </w:rPr>
        <w:t>6</w:t>
      </w:r>
      <w:r w:rsidRPr="00C03B6F">
        <w:rPr>
          <w:rFonts w:ascii="Verdana" w:hAnsi="Verdana"/>
          <w:sz w:val="22"/>
          <w:szCs w:val="22"/>
        </w:rPr>
        <w:t xml:space="preserve">, </w:t>
      </w:r>
      <w:r w:rsidR="001C5568" w:rsidRPr="00C03B6F">
        <w:rPr>
          <w:rFonts w:ascii="Verdana" w:hAnsi="Verdana"/>
          <w:sz w:val="22"/>
          <w:szCs w:val="22"/>
        </w:rPr>
        <w:t>20</w:t>
      </w:r>
      <w:r w:rsidR="00041CD2" w:rsidRPr="00C03B6F">
        <w:rPr>
          <w:rFonts w:ascii="Verdana" w:hAnsi="Verdana"/>
          <w:sz w:val="22"/>
          <w:szCs w:val="22"/>
        </w:rPr>
        <w:t>2</w:t>
      </w:r>
      <w:r w:rsidR="006F758E">
        <w:rPr>
          <w:rFonts w:ascii="Verdana" w:hAnsi="Verdana"/>
          <w:sz w:val="22"/>
          <w:szCs w:val="22"/>
        </w:rPr>
        <w:t>5</w:t>
      </w:r>
      <w:r w:rsidRPr="00C03B6F">
        <w:rPr>
          <w:rFonts w:ascii="Verdana" w:hAnsi="Verdana"/>
          <w:sz w:val="22"/>
          <w:szCs w:val="22"/>
        </w:rPr>
        <w:t xml:space="preserve"> pay tentatively is the second of two pays for ten (10) month employees</w:t>
      </w:r>
    </w:p>
    <w:p w14:paraId="69542BB7" w14:textId="6DD5276C" w:rsidR="00A2565D" w:rsidRPr="00C03B6F" w:rsidRDefault="00511C62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46CC4" w:rsidRPr="00C03B6F">
        <w:rPr>
          <w:rFonts w:ascii="Verdana" w:hAnsi="Verdana"/>
          <w:sz w:val="22"/>
          <w:szCs w:val="22"/>
        </w:rPr>
        <w:t xml:space="preserve"> only. Vouchers and sign-in sheets will not be processed in this pay</w:t>
      </w:r>
      <w:r w:rsidR="00A2565D" w:rsidRPr="00C03B6F">
        <w:rPr>
          <w:rFonts w:ascii="Verdana" w:hAnsi="Verdana"/>
          <w:sz w:val="22"/>
          <w:szCs w:val="22"/>
        </w:rPr>
        <w:t>.</w:t>
      </w:r>
      <w:bookmarkEnd w:id="0"/>
    </w:p>
    <w:sectPr w:rsidR="00A2565D" w:rsidRPr="00C03B6F" w:rsidSect="00DE7221">
      <w:endnotePr>
        <w:numFmt w:val="decimal"/>
      </w:endnotePr>
      <w:pgSz w:w="12240" w:h="15840"/>
      <w:pgMar w:top="720" w:right="1008" w:bottom="720" w:left="108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FC3F" w14:textId="77777777" w:rsidR="00A05584" w:rsidRDefault="00A05584">
      <w:pPr>
        <w:spacing w:line="20" w:lineRule="exact"/>
      </w:pPr>
    </w:p>
  </w:endnote>
  <w:endnote w:type="continuationSeparator" w:id="0">
    <w:p w14:paraId="30EDA50B" w14:textId="77777777" w:rsidR="00A05584" w:rsidRDefault="00A05584">
      <w:r>
        <w:t xml:space="preserve"> </w:t>
      </w:r>
    </w:p>
  </w:endnote>
  <w:endnote w:type="continuationNotice" w:id="1">
    <w:p w14:paraId="0CD568E3" w14:textId="77777777" w:rsidR="00A05584" w:rsidRDefault="00A0558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0644" w14:textId="77777777" w:rsidR="00A05584" w:rsidRDefault="00A05584">
      <w:r>
        <w:separator/>
      </w:r>
    </w:p>
  </w:footnote>
  <w:footnote w:type="continuationSeparator" w:id="0">
    <w:p w14:paraId="1A3CFE5C" w14:textId="77777777" w:rsidR="00A05584" w:rsidRDefault="00A0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C5"/>
    <w:rsid w:val="00000ADE"/>
    <w:rsid w:val="0000621B"/>
    <w:rsid w:val="0001174C"/>
    <w:rsid w:val="000173E3"/>
    <w:rsid w:val="000239C4"/>
    <w:rsid w:val="00041CD2"/>
    <w:rsid w:val="000435BA"/>
    <w:rsid w:val="00046B08"/>
    <w:rsid w:val="00087AA0"/>
    <w:rsid w:val="00090686"/>
    <w:rsid w:val="00093F50"/>
    <w:rsid w:val="000A4EDF"/>
    <w:rsid w:val="000B14E2"/>
    <w:rsid w:val="000B6FA4"/>
    <w:rsid w:val="000C2F34"/>
    <w:rsid w:val="001004AE"/>
    <w:rsid w:val="00106617"/>
    <w:rsid w:val="00111126"/>
    <w:rsid w:val="001121D8"/>
    <w:rsid w:val="00136B09"/>
    <w:rsid w:val="001521DD"/>
    <w:rsid w:val="00153A6D"/>
    <w:rsid w:val="0016475B"/>
    <w:rsid w:val="00167874"/>
    <w:rsid w:val="001845A6"/>
    <w:rsid w:val="00185563"/>
    <w:rsid w:val="0018712E"/>
    <w:rsid w:val="00192D32"/>
    <w:rsid w:val="001B1538"/>
    <w:rsid w:val="001C5568"/>
    <w:rsid w:val="001D1BD0"/>
    <w:rsid w:val="001E29E8"/>
    <w:rsid w:val="001F5156"/>
    <w:rsid w:val="00226649"/>
    <w:rsid w:val="00235554"/>
    <w:rsid w:val="0026567D"/>
    <w:rsid w:val="00276EDF"/>
    <w:rsid w:val="00284B8C"/>
    <w:rsid w:val="002B1EA4"/>
    <w:rsid w:val="002C4FFC"/>
    <w:rsid w:val="002C7A8A"/>
    <w:rsid w:val="002D503E"/>
    <w:rsid w:val="002E3D30"/>
    <w:rsid w:val="003216E3"/>
    <w:rsid w:val="00321B55"/>
    <w:rsid w:val="00330A3C"/>
    <w:rsid w:val="00366BE3"/>
    <w:rsid w:val="00381DE4"/>
    <w:rsid w:val="003B095C"/>
    <w:rsid w:val="003C2AA0"/>
    <w:rsid w:val="003E4522"/>
    <w:rsid w:val="003E4CBF"/>
    <w:rsid w:val="003E4F08"/>
    <w:rsid w:val="003F17A0"/>
    <w:rsid w:val="00402A5F"/>
    <w:rsid w:val="00421868"/>
    <w:rsid w:val="00442630"/>
    <w:rsid w:val="00447E12"/>
    <w:rsid w:val="00456168"/>
    <w:rsid w:val="00485C97"/>
    <w:rsid w:val="004955C7"/>
    <w:rsid w:val="004956D9"/>
    <w:rsid w:val="00496080"/>
    <w:rsid w:val="00496E4B"/>
    <w:rsid w:val="004A23FC"/>
    <w:rsid w:val="004A3219"/>
    <w:rsid w:val="004A34E5"/>
    <w:rsid w:val="004C29B5"/>
    <w:rsid w:val="004E642A"/>
    <w:rsid w:val="004F00FB"/>
    <w:rsid w:val="005062B9"/>
    <w:rsid w:val="00511C62"/>
    <w:rsid w:val="0051478B"/>
    <w:rsid w:val="005151D6"/>
    <w:rsid w:val="00524730"/>
    <w:rsid w:val="0055197F"/>
    <w:rsid w:val="0055433C"/>
    <w:rsid w:val="0055628F"/>
    <w:rsid w:val="00565D19"/>
    <w:rsid w:val="0059684D"/>
    <w:rsid w:val="00596914"/>
    <w:rsid w:val="005A6879"/>
    <w:rsid w:val="005B3689"/>
    <w:rsid w:val="005B5D0D"/>
    <w:rsid w:val="005E0445"/>
    <w:rsid w:val="005E2793"/>
    <w:rsid w:val="005F6C40"/>
    <w:rsid w:val="00664768"/>
    <w:rsid w:val="00667AF4"/>
    <w:rsid w:val="006841C9"/>
    <w:rsid w:val="0069073D"/>
    <w:rsid w:val="006A0507"/>
    <w:rsid w:val="006F758E"/>
    <w:rsid w:val="00732BCF"/>
    <w:rsid w:val="00735CA8"/>
    <w:rsid w:val="00746CC4"/>
    <w:rsid w:val="00767558"/>
    <w:rsid w:val="00767F93"/>
    <w:rsid w:val="007737DA"/>
    <w:rsid w:val="007804AB"/>
    <w:rsid w:val="00792CF0"/>
    <w:rsid w:val="00793C22"/>
    <w:rsid w:val="007945D8"/>
    <w:rsid w:val="007A4ED1"/>
    <w:rsid w:val="007B675F"/>
    <w:rsid w:val="007C0DAA"/>
    <w:rsid w:val="007C1CB6"/>
    <w:rsid w:val="008119BA"/>
    <w:rsid w:val="00835C8D"/>
    <w:rsid w:val="008445B2"/>
    <w:rsid w:val="008456F9"/>
    <w:rsid w:val="00853E35"/>
    <w:rsid w:val="008617B1"/>
    <w:rsid w:val="00881F1B"/>
    <w:rsid w:val="008850BF"/>
    <w:rsid w:val="00891F0A"/>
    <w:rsid w:val="008B0A0F"/>
    <w:rsid w:val="008B376A"/>
    <w:rsid w:val="008B56DC"/>
    <w:rsid w:val="008C7AE6"/>
    <w:rsid w:val="008E0C36"/>
    <w:rsid w:val="008F56ED"/>
    <w:rsid w:val="00903710"/>
    <w:rsid w:val="00904BED"/>
    <w:rsid w:val="00924BAA"/>
    <w:rsid w:val="00970C66"/>
    <w:rsid w:val="0097240A"/>
    <w:rsid w:val="00972B5F"/>
    <w:rsid w:val="00986F62"/>
    <w:rsid w:val="00996110"/>
    <w:rsid w:val="009D168B"/>
    <w:rsid w:val="009E2E01"/>
    <w:rsid w:val="00A02F7D"/>
    <w:rsid w:val="00A05584"/>
    <w:rsid w:val="00A2565D"/>
    <w:rsid w:val="00A30193"/>
    <w:rsid w:val="00A30557"/>
    <w:rsid w:val="00A3710C"/>
    <w:rsid w:val="00A5508C"/>
    <w:rsid w:val="00A8657C"/>
    <w:rsid w:val="00AB6590"/>
    <w:rsid w:val="00AE33F2"/>
    <w:rsid w:val="00AF2DAA"/>
    <w:rsid w:val="00B052BB"/>
    <w:rsid w:val="00B057ED"/>
    <w:rsid w:val="00B05FF5"/>
    <w:rsid w:val="00B06910"/>
    <w:rsid w:val="00B14239"/>
    <w:rsid w:val="00B24A44"/>
    <w:rsid w:val="00B351EA"/>
    <w:rsid w:val="00B367C5"/>
    <w:rsid w:val="00B5529F"/>
    <w:rsid w:val="00B821A5"/>
    <w:rsid w:val="00BA674D"/>
    <w:rsid w:val="00BC0C9A"/>
    <w:rsid w:val="00BE5477"/>
    <w:rsid w:val="00C01ADC"/>
    <w:rsid w:val="00C03B6F"/>
    <w:rsid w:val="00C27BDA"/>
    <w:rsid w:val="00C32081"/>
    <w:rsid w:val="00C513CA"/>
    <w:rsid w:val="00C86D9B"/>
    <w:rsid w:val="00CA0710"/>
    <w:rsid w:val="00CB2FE4"/>
    <w:rsid w:val="00CC067A"/>
    <w:rsid w:val="00CC78CD"/>
    <w:rsid w:val="00CE5B5D"/>
    <w:rsid w:val="00CF0F2C"/>
    <w:rsid w:val="00CF42A1"/>
    <w:rsid w:val="00CF55CF"/>
    <w:rsid w:val="00D45DE7"/>
    <w:rsid w:val="00D66897"/>
    <w:rsid w:val="00DB29A1"/>
    <w:rsid w:val="00DD19EE"/>
    <w:rsid w:val="00DE7221"/>
    <w:rsid w:val="00E26C10"/>
    <w:rsid w:val="00E6669C"/>
    <w:rsid w:val="00E702C1"/>
    <w:rsid w:val="00EA640C"/>
    <w:rsid w:val="00EC7B69"/>
    <w:rsid w:val="00ED05B7"/>
    <w:rsid w:val="00EF55B4"/>
    <w:rsid w:val="00EF5E30"/>
    <w:rsid w:val="00F52D12"/>
    <w:rsid w:val="00F707FE"/>
    <w:rsid w:val="00F77BFD"/>
    <w:rsid w:val="00F9589C"/>
    <w:rsid w:val="00FA5F2A"/>
    <w:rsid w:val="00FC3A79"/>
    <w:rsid w:val="00FC3F00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42B35"/>
  <w15:docId w15:val="{7AFA7A23-CD77-48EC-A6C8-9A7312D8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76A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B376A"/>
    <w:pPr>
      <w:keepNext/>
      <w:suppressAutoHyphens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B376A"/>
  </w:style>
  <w:style w:type="character" w:styleId="EndnoteReference">
    <w:name w:val="endnote reference"/>
    <w:basedOn w:val="DefaultParagraphFont"/>
    <w:semiHidden/>
    <w:rsid w:val="008B376A"/>
    <w:rPr>
      <w:vertAlign w:val="superscript"/>
    </w:rPr>
  </w:style>
  <w:style w:type="paragraph" w:styleId="FootnoteText">
    <w:name w:val="footnote text"/>
    <w:basedOn w:val="Normal"/>
    <w:semiHidden/>
    <w:rsid w:val="008B376A"/>
  </w:style>
  <w:style w:type="character" w:styleId="FootnoteReference">
    <w:name w:val="footnote reference"/>
    <w:basedOn w:val="DefaultParagraphFont"/>
    <w:semiHidden/>
    <w:rsid w:val="008B376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B376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B376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B376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B376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B376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B376A"/>
  </w:style>
  <w:style w:type="character" w:customStyle="1" w:styleId="EquationCaption">
    <w:name w:val="_Equation Caption"/>
    <w:rsid w:val="008B376A"/>
  </w:style>
  <w:style w:type="paragraph" w:styleId="BalloonText">
    <w:name w:val="Balloon Text"/>
    <w:basedOn w:val="Normal"/>
    <w:link w:val="BalloonTextChar"/>
    <w:semiHidden/>
    <w:unhideWhenUsed/>
    <w:rsid w:val="00CA0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0710"/>
    <w:rPr>
      <w:rFonts w:ascii="Segoe UI" w:hAnsi="Segoe UI" w:cs="Segoe UI"/>
      <w:snapToGrid w:val="0"/>
      <w:sz w:val="18"/>
      <w:szCs w:val="18"/>
    </w:rPr>
  </w:style>
  <w:style w:type="table" w:styleId="TableGrid">
    <w:name w:val="Table Grid"/>
    <w:basedOn w:val="TableNormal"/>
    <w:rsid w:val="008F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7EEF-B51C-4130-BFE5-5BAD3214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FY-98     BULLETIN NO</vt:lpstr>
    </vt:vector>
  </TitlesOfParts>
  <Company>Washington Township School District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FY-98     BULLETIN NO</dc:title>
  <dc:creator>Washington Township</dc:creator>
  <cp:lastModifiedBy>Lori Laundra</cp:lastModifiedBy>
  <cp:revision>19</cp:revision>
  <cp:lastPrinted>2019-05-13T19:28:00Z</cp:lastPrinted>
  <dcterms:created xsi:type="dcterms:W3CDTF">2024-06-25T20:37:00Z</dcterms:created>
  <dcterms:modified xsi:type="dcterms:W3CDTF">2024-06-25T21:36:00Z</dcterms:modified>
</cp:coreProperties>
</file>